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04913572"/>
        <w:docPartObj>
          <w:docPartGallery w:val="Cover Pages"/>
          <w:docPartUnique/>
        </w:docPartObj>
      </w:sdtPr>
      <w:sdtContent>
        <w:p w14:paraId="6C870EBC" w14:textId="74D03E35" w:rsidR="001E5506" w:rsidRDefault="001E5506"/>
        <w:p w14:paraId="6858F0A7" w14:textId="263305AD" w:rsidR="001E5506" w:rsidRDefault="001E5506">
          <w:r>
            <w:rPr>
              <w:noProof/>
            </w:rPr>
            <w:drawing>
              <wp:inline distT="0" distB="0" distL="0" distR="0" wp14:anchorId="5BCFB7D3" wp14:editId="247B387E">
                <wp:extent cx="2293620" cy="82296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236A33E" wp14:editId="352178A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8B35D8" w14:textId="625C2AF3" w:rsidR="001E5506" w:rsidRDefault="001E550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15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49D67ED" w14:textId="5FB0A1C7" w:rsidR="001E5506" w:rsidRDefault="001E550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22 febbraio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5A8BB5F" w14:textId="6F8201C2" w:rsidR="001E5506" w:rsidRDefault="001E550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236A3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18B35D8" w14:textId="625C2AF3" w:rsidR="001E5506" w:rsidRDefault="001E550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15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49D67ED" w14:textId="5FB0A1C7" w:rsidR="001E5506" w:rsidRDefault="001E550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22 febbraio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5A8BB5F" w14:textId="6F8201C2" w:rsidR="001E5506" w:rsidRDefault="001E550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1EBE0A" wp14:editId="166D6CE3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6FAA32C" w14:textId="7BCD33A9" w:rsidR="001E5506" w:rsidRDefault="001E550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01EBE0A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6FAA32C" w14:textId="7BCD33A9" w:rsidR="001E5506" w:rsidRDefault="001E550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431D093D" w14:textId="777F43CC" w:rsidR="001E5506" w:rsidRPr="001E5506" w:rsidRDefault="001E5506" w:rsidP="001E5506">
      <w:r w:rsidRPr="001E5506">
        <w:rPr>
          <w:b/>
          <w:bCs/>
          <w:i/>
          <w:iCs/>
        </w:rPr>
        <w:lastRenderedPageBreak/>
        <w:t>LEGGI REGIONALI</w:t>
      </w:r>
    </w:p>
    <w:p w14:paraId="4BF83DAE" w14:textId="119812D6" w:rsidR="001E5506" w:rsidRPr="001E5506" w:rsidRDefault="001E5506" w:rsidP="001E5506">
      <w:r w:rsidRPr="001E5506">
        <w:drawing>
          <wp:inline distT="0" distB="0" distL="0" distR="0" wp14:anchorId="36491B7E" wp14:editId="189119D1">
            <wp:extent cx="152400" cy="2057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06">
        <w:t> </w:t>
      </w:r>
      <w:r w:rsidRPr="001E5506">
        <w:drawing>
          <wp:inline distT="0" distB="0" distL="0" distR="0" wp14:anchorId="2DB07F00" wp14:editId="2A068D54">
            <wp:extent cx="152400" cy="205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06">
        <w:t> </w:t>
      </w:r>
      <w:r w:rsidRPr="001E5506">
        <w:drawing>
          <wp:inline distT="0" distB="0" distL="0" distR="0" wp14:anchorId="6704EEC0" wp14:editId="0AB120B3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311DB" w14:textId="79C04847" w:rsidR="001E5506" w:rsidRPr="001E5506" w:rsidRDefault="001E5506" w:rsidP="001E5506">
      <w:r w:rsidRPr="001E5506">
        <w:t>Legge regionale 20 febbraio 2023, n. 1. "Modifica dell'articolo 29 della legge regionale 30 aprile 1975, n. 25 (Referendum popolare)". </w:t>
      </w:r>
      <w:r w:rsidRPr="001E5506">
        <w:drawing>
          <wp:inline distT="0" distB="0" distL="0" distR="0" wp14:anchorId="43482E17" wp14:editId="79096DA5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B9A64" w14:textId="77777777" w:rsidR="00C24349" w:rsidRDefault="00C24349"/>
    <w:sectPr w:rsidR="00C24349" w:rsidSect="001E550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06"/>
    <w:rsid w:val="001E5506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4EBA"/>
  <w15:chartTrackingRefBased/>
  <w15:docId w15:val="{797C21AA-10A9-451D-9B4A-280E46C4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1E5506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5506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55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burc.regione.campania.it/eBurcWeb/directServlet?DOCUMENT_ID=137029&amp;ATTACH_ID=2056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15</dc:title>
  <dc:subject>22 febbraio 2023</dc:subject>
  <dc:creator>ANCE CAMPANIA</dc:creator>
  <cp:keywords/>
  <dc:description/>
  <cp:lastModifiedBy>ANCE CAMPANIA</cp:lastModifiedBy>
  <cp:revision>1</cp:revision>
  <dcterms:created xsi:type="dcterms:W3CDTF">2023-02-23T08:06:00Z</dcterms:created>
  <dcterms:modified xsi:type="dcterms:W3CDTF">2023-02-23T08:13:00Z</dcterms:modified>
</cp:coreProperties>
</file>